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02C87">
      <w:pPr>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附件1</w:t>
      </w:r>
    </w:p>
    <w:p w14:paraId="02A675BE">
      <w:pPr>
        <w:rPr>
          <w:rFonts w:hint="default" w:ascii="仿宋_GB2312" w:hAnsi="仿宋_GB2312" w:eastAsia="仿宋_GB2312" w:cs="仿宋_GB2312"/>
          <w:b/>
          <w:bCs/>
          <w:color w:val="auto"/>
          <w:sz w:val="32"/>
          <w:szCs w:val="32"/>
          <w:u w:val="none"/>
          <w:lang w:val="en-US" w:eastAsia="zh-CN"/>
        </w:rPr>
      </w:pPr>
    </w:p>
    <w:p w14:paraId="7EC6275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鄂尔多斯市文物保护单位巡查管理办法</w:t>
      </w:r>
    </w:p>
    <w:p w14:paraId="028D56F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（试行）</w:t>
      </w:r>
    </w:p>
    <w:p w14:paraId="751D639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(征求意见稿)</w:t>
      </w:r>
    </w:p>
    <w:p w14:paraId="0ECAF371">
      <w:pPr>
        <w:rPr>
          <w:rFonts w:ascii="方正小标宋简体" w:hAnsi="方正小标宋简体" w:eastAsia="方正小标宋简体" w:cs="方正小标宋简体"/>
          <w:sz w:val="32"/>
          <w:szCs w:val="32"/>
        </w:rPr>
      </w:pPr>
    </w:p>
    <w:p w14:paraId="2E0CCF46">
      <w:pPr>
        <w:autoSpaceDE w:val="0"/>
        <w:autoSpaceDN w:val="0"/>
        <w:adjustRightIn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zh-CN"/>
        </w:rPr>
        <w:t>为了规范文物保护单位巡查和执法等管理工作，推动全市文物行政部门、文物执法机构依法履行文物行政和执法监管职责，提高监管效率与能力，及时发现、制止并依法查处文物违法行为，根据《中华人民共和国文物保护法》、《内蒙古自治区文物保护条例》《鄂尔多斯市不可移动文物保护条例》等法律、法规制定本办法。</w:t>
      </w:r>
    </w:p>
    <w:p w14:paraId="092A5406">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第二条 本办法所称文物保护单位巡查和执法工作，是指各级文物行政部门、文物执法机构，对本行政区域内各级文物保护单位进行的日常性检查和执法巡查工作。</w:t>
      </w:r>
    </w:p>
    <w:p w14:paraId="767C0DF1">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第三条 文物保护单位巡查工作按照属地管理、分级负责的原则实施。各旗区可根据实际情况，参照本办法制定相应的实施方案，开展文物保护单位巡查和执法工作。</w:t>
      </w:r>
    </w:p>
    <w:p w14:paraId="05C33A1D">
      <w:pPr>
        <w:autoSpaceDE w:val="0"/>
        <w:autoSpaceDN w:val="0"/>
        <w:adjustRightInd w:val="0"/>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zh-CN"/>
        </w:rPr>
        <w:t xml:space="preserve">第四条 </w:t>
      </w:r>
      <w:r>
        <w:rPr>
          <w:rFonts w:hint="eastAsia" w:ascii="仿宋_GB2312" w:hAnsi="仿宋_GB2312" w:eastAsia="仿宋_GB2312" w:cs="仿宋_GB2312"/>
          <w:color w:val="auto"/>
          <w:sz w:val="32"/>
          <w:szCs w:val="32"/>
          <w:lang w:val="zh-CN"/>
        </w:rPr>
        <w:t>鄂尔多斯市文化和旅游（文物）局负责对全市文物保护单位进行抽查检查，对各旗区开展的文物保护单位巡查工作</w:t>
      </w:r>
      <w:bookmarkStart w:id="0" w:name="_GoBack"/>
      <w:bookmarkEnd w:id="0"/>
      <w:r>
        <w:rPr>
          <w:rFonts w:hint="eastAsia" w:ascii="仿宋_GB2312" w:hAnsi="仿宋_GB2312" w:eastAsia="仿宋_GB2312" w:cs="仿宋_GB2312"/>
          <w:color w:val="auto"/>
          <w:sz w:val="32"/>
          <w:szCs w:val="32"/>
          <w:lang w:val="zh-CN"/>
        </w:rPr>
        <w:t>进行巡查督察；确保每年对市级(含)以上文物保护单位至少开展</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rPr>
        <w:t>次巡查督察，对长城特别是国家级重要点段的实地巡查督察不少于</w:t>
      </w:r>
      <w:r>
        <w:rPr>
          <w:rFonts w:hint="eastAsia" w:ascii="仿宋_GB2312" w:hAnsi="仿宋_GB2312" w:eastAsia="仿宋_GB2312" w:cs="仿宋_GB2312"/>
          <w:color w:val="auto"/>
          <w:sz w:val="32"/>
          <w:szCs w:val="32"/>
          <w:lang w:val="en-US" w:eastAsia="zh-CN"/>
        </w:rPr>
        <w:t>2次。</w:t>
      </w:r>
    </w:p>
    <w:p w14:paraId="775BE3B5">
      <w:pPr>
        <w:autoSpaceDE w:val="0"/>
        <w:autoSpaceDN w:val="0"/>
        <w:adjustRightInd w:val="0"/>
        <w:spacing w:line="600" w:lineRule="exact"/>
        <w:ind w:firstLine="640" w:firstLineChars="20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鄂尔多斯市文化市场综合行政执法局负责对文物保护单位进行抽查执法，对旗区文物执法机构开展执法巡查工作进行督察；确保每年对市级(含)以上文物保护单位至少开展</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rPr>
        <w:t>次执法检查工作。</w:t>
      </w:r>
    </w:p>
    <w:p w14:paraId="31D961D5">
      <w:pPr>
        <w:autoSpaceDE w:val="0"/>
        <w:autoSpaceDN w:val="0"/>
        <w:adjustRightInd w:val="0"/>
        <w:spacing w:line="600"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第五条 各旗区文物行政部门、文物执法机构负责对本行政区域内的文物保护单位进行巡查检查和执法巡查；负责对本行政区域内各文物保护管理机构开展的文物保护单位巡查工作进行督察；要确保每年对本行政区域内每处文物保护单位至少巡查</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rPr>
        <w:t>次。</w:t>
      </w:r>
    </w:p>
    <w:p w14:paraId="61539F49">
      <w:pPr>
        <w:autoSpaceDE w:val="0"/>
        <w:autoSpaceDN w:val="0"/>
        <w:adjustRightInd w:val="0"/>
        <w:spacing w:line="60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秦直道遗址和长城所在旗区文物行政部门、文物执法机构每年对秦直道遗址全线和全部长城段落实地巡查检查不少于</w:t>
      </w:r>
      <w:r>
        <w:rPr>
          <w:rFonts w:hint="eastAsia" w:ascii="仿宋_GB2312" w:hAnsi="仿宋_GB2312" w:eastAsia="仿宋_GB2312" w:cs="仿宋_GB2312"/>
          <w:color w:val="auto"/>
          <w:sz w:val="32"/>
          <w:szCs w:val="32"/>
          <w:lang w:val="en-US" w:eastAsia="zh-CN"/>
        </w:rPr>
        <w:t>1次，每月对重要</w:t>
      </w:r>
      <w:r>
        <w:rPr>
          <w:rFonts w:hint="eastAsia" w:ascii="仿宋_GB2312" w:hAnsi="仿宋_GB2312" w:eastAsia="仿宋_GB2312" w:cs="仿宋_GB2312"/>
          <w:color w:val="auto"/>
          <w:sz w:val="32"/>
          <w:szCs w:val="32"/>
          <w:lang w:val="zh-CN"/>
        </w:rPr>
        <w:t>秦直道遗迹和</w:t>
      </w:r>
      <w:r>
        <w:rPr>
          <w:rFonts w:hint="eastAsia" w:ascii="仿宋_GB2312" w:hAnsi="仿宋_GB2312" w:eastAsia="仿宋_GB2312" w:cs="仿宋_GB2312"/>
          <w:color w:val="auto"/>
          <w:sz w:val="32"/>
          <w:szCs w:val="32"/>
          <w:lang w:val="en-US" w:eastAsia="zh-CN"/>
        </w:rPr>
        <w:t>长城重点段落进行抽查，并经常性检查秦直道和长城保护机构及文物保护管理员日常性检查工作开展情况，确保每位文物保护管理员每周</w:t>
      </w:r>
      <w:r>
        <w:rPr>
          <w:rFonts w:hint="eastAsia" w:ascii="仿宋_GB2312" w:hAnsi="仿宋_GB2312" w:eastAsia="仿宋_GB2312" w:cs="仿宋_GB2312"/>
          <w:color w:val="auto"/>
          <w:sz w:val="32"/>
          <w:szCs w:val="32"/>
          <w:lang w:val="zh-CN"/>
        </w:rPr>
        <w:t>至少开展</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rPr>
        <w:t>次</w:t>
      </w:r>
      <w:r>
        <w:rPr>
          <w:rFonts w:hint="eastAsia" w:ascii="仿宋_GB2312" w:hAnsi="仿宋_GB2312" w:eastAsia="仿宋_GB2312" w:cs="仿宋_GB2312"/>
          <w:color w:val="auto"/>
          <w:sz w:val="32"/>
          <w:szCs w:val="32"/>
          <w:lang w:val="en-US" w:eastAsia="zh-CN"/>
        </w:rPr>
        <w:t>常规性检查。</w:t>
      </w:r>
    </w:p>
    <w:p w14:paraId="0CCE6B62">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第六条 文物保护单位的管理使用单位（人）或者产权单位（人）应当配合各级文物行政部门、文物执法机构开展巡查和执法，不得拒绝、阻碍。</w:t>
      </w:r>
    </w:p>
    <w:p w14:paraId="3B836BB4">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文物保护单位的管理使用单位（人）或者产权单位（人）应当定期对文物保护单位的保护管理状况开展自查，对发现的问题及时整改，对发现的违法行为及时向所在地文物行政部门、文物执法机构报告。</w:t>
      </w:r>
    </w:p>
    <w:p w14:paraId="09CD04D8">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第七条 市级文物行政部门、文物执法机构对文物保护单位巡查和执法工作进行督察的内容包括：</w:t>
      </w:r>
    </w:p>
    <w:p w14:paraId="494075C9">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（一）该行政区域内文物保护单位巡查和执法工作的总体情况；</w:t>
      </w:r>
    </w:p>
    <w:p w14:paraId="208B2AB9">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（二）对下级文物行政部门、执法机构开展的文物保护单位巡查和执法工作进行抽查、督察的情况；</w:t>
      </w:r>
    </w:p>
    <w:p w14:paraId="31001F51">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（三）在文物保护单位巡查、执法和有关抽查、督察工作中发现的问题及整改意见的落实情况。</w:t>
      </w:r>
    </w:p>
    <w:p w14:paraId="031B15D0">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第八条 市级文物行政部门、文物执法机构对文物保护单位执法巡查工作进行督察，可采取以下方法：</w:t>
      </w:r>
    </w:p>
    <w:p w14:paraId="22EA08A9">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（一）查看文物保护单位执法巡查、督察的工作计划；</w:t>
      </w:r>
    </w:p>
    <w:p w14:paraId="6AAE7E07">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（二）查看文物保护单位执法巡查工作相关文件和措施；</w:t>
      </w:r>
    </w:p>
    <w:p w14:paraId="6E597A3C">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（三）查看文物保护单位执法巡查的电子与纸质档案；</w:t>
      </w:r>
    </w:p>
    <w:p w14:paraId="6810BE8D">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（四）查看文物保护单位执法巡查工作抽查、督察的材料；</w:t>
      </w:r>
    </w:p>
    <w:p w14:paraId="6457FBFE">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（五）实地检查。</w:t>
      </w:r>
    </w:p>
    <w:p w14:paraId="7B2AEDAB">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第九条 文物行政部门、文物执法机构开展文物保护单位执法巡查，应当重点检查以下内容：</w:t>
      </w:r>
    </w:p>
    <w:p w14:paraId="4C448B37">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（一）文物保护单位是否划定保护范围和建设控制地带，是否作出标志说明，是否建立记录档案，是否设置专门机构或者专人负责管理；</w:t>
      </w:r>
    </w:p>
    <w:p w14:paraId="60E83A27">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（二）文物保护单位内及其保护范围、建设控制地带内是否发生违法建设行为；</w:t>
      </w:r>
    </w:p>
    <w:p w14:paraId="677C6F18">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（三）是否发生擅自迁移、拆除文物保护单位或者擅自修缮文物保护单位，明显改变文物原状的违法行为；</w:t>
      </w:r>
    </w:p>
    <w:p w14:paraId="37B85D2C">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（四）是否发生擅自在原址重建已全部毁坏的文物保护单位，造成文物破坏的违法行为；</w:t>
      </w:r>
    </w:p>
    <w:p w14:paraId="45F0F5B0">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（五）是否发生施工单位未取得文物保护工程资质证书，擅自从事文物修缮、迁移、重建的违法行为；</w:t>
      </w:r>
    </w:p>
    <w:p w14:paraId="79AEDE9B">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（六）是否发生擅自改变国有文物保护单位的用途、转让或者抵押国有文物保护单位或者将国有文物保护单位作为企业资产经营的违法行为；</w:t>
      </w:r>
    </w:p>
    <w:p w14:paraId="786B1A0E">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（七）是否发生将非国有文物保护单位转让或者抵押给外国人的违法行为；</w:t>
      </w:r>
    </w:p>
    <w:p w14:paraId="2D77773F">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（八）是否发生考古发掘单位未经批准擅自在文物保护单位内进行考古发掘的违法行为；</w:t>
      </w:r>
    </w:p>
    <w:p w14:paraId="730CEEB5">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（九）是否发生未经批准擅自在文物保护单位开展经营性活动的违法行为；</w:t>
      </w:r>
    </w:p>
    <w:p w14:paraId="4B587E20">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（十）其他涉及文物保护单位的违法违规行为。</w:t>
      </w:r>
    </w:p>
    <w:p w14:paraId="2A332EC4">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第十条 开展文物保护单位巡查工作时，巡查人员应当做好以下工作：</w:t>
      </w:r>
    </w:p>
    <w:p w14:paraId="60C9C586">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（一）如实记录被巡查文物保护单位的名称、类别、级别、地址、管理机构、使用或者所有权人、所有权属，以及巡查时间、巡查人员、发现的情况和采取的相应措施等；</w:t>
      </w:r>
    </w:p>
    <w:p w14:paraId="3B861636">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（二）对被巡查文物保护单位的外观全景、主要组成部分和重要构件、标志说明、保护范围与建设控制地带状况及发现的违法行为现场等进行摄影、摄像；</w:t>
      </w:r>
    </w:p>
    <w:p w14:paraId="2647223B">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（三）查阅被巡查文物保护单位的监测措施、维护保养记录、记录档案、依法开展有关工作的审批文件及其他书面材料，必要时应当复制存档。</w:t>
      </w:r>
    </w:p>
    <w:p w14:paraId="240503CF">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第十一条 巡查、督察工作结束后，文物行政部门、文物执法机构应当及时以书面形式向被检查单位反馈意见。反馈意见应当明确指出存在的问题、违反的相关规定，并提出整改要求。</w:t>
      </w:r>
    </w:p>
    <w:p w14:paraId="2BF7C1AA">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第十二条 各级文物行政部门、文物执法机构应当及时查处巡查、督察中发现的违法行为，对涉嫌构成犯罪的依法移交司法机关。</w:t>
      </w:r>
    </w:p>
    <w:p w14:paraId="01951AF6">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第十三条 文物保护单位执法巡查工作结束后，巡查人员要将基本工作情况、发现的问题、采取的措施和有关建议书面报告所属文物行政部门或者文物执法机构。</w:t>
      </w:r>
    </w:p>
    <w:p w14:paraId="4490A739">
      <w:pPr>
        <w:autoSpaceDE w:val="0"/>
        <w:autoSpaceDN w:val="0"/>
        <w:adjustRightIn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第十四条 文物行政部门、文物执法机构应当及时将巡查记录、文字和影像资料等整理归档，建立电子与纸质档案。</w:t>
      </w:r>
    </w:p>
    <w:p w14:paraId="1F87B211">
      <w:pPr>
        <w:autoSpaceDE w:val="0"/>
        <w:autoSpaceDN w:val="0"/>
        <w:adjustRightIn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第十五条 本办法自发布之日起施行。</w:t>
      </w:r>
    </w:p>
    <w:p w14:paraId="0C653B6A">
      <w:pPr>
        <w:rPr>
          <w:rFonts w:ascii="方正小标宋简体" w:hAnsi="方正小标宋简体" w:eastAsia="方正小标宋简体" w:cs="方正小标宋简体"/>
          <w:sz w:val="44"/>
          <w:szCs w:val="44"/>
        </w:rPr>
      </w:pPr>
    </w:p>
    <w:p w14:paraId="0B37DC41">
      <w:pPr>
        <w:pStyle w:val="2"/>
        <w:ind w:left="0" w:leftChars="0" w:firstLine="0" w:firstLineChars="0"/>
        <w:rPr>
          <w:rFonts w:hint="eastAsia" w:ascii="仿宋_GB2312" w:hAnsi="仿宋_GB2312" w:eastAsia="仿宋_GB2312" w:cs="仿宋_GB2312"/>
          <w:color w:val="auto"/>
          <w:sz w:val="32"/>
          <w:szCs w:val="32"/>
          <w:u w:val="none"/>
          <w:lang w:val="en-US" w:eastAsia="zh-CN"/>
        </w:rPr>
      </w:pPr>
    </w:p>
    <w:p w14:paraId="46FEB482">
      <w:pPr>
        <w:pStyle w:val="2"/>
        <w:rPr>
          <w:rFonts w:hint="eastAsia" w:ascii="仿宋_GB2312" w:hAnsi="仿宋_GB2312" w:eastAsia="仿宋_GB2312" w:cs="仿宋_GB2312"/>
          <w:color w:val="auto"/>
          <w:sz w:val="32"/>
          <w:szCs w:val="32"/>
          <w:u w:val="none"/>
          <w:lang w:val="en-US" w:eastAsia="zh-CN"/>
        </w:rPr>
      </w:pPr>
    </w:p>
    <w:p w14:paraId="0422C9DA">
      <w:pPr>
        <w:pStyle w:val="2"/>
        <w:ind w:left="0" w:leftChars="0" w:firstLine="0" w:firstLineChars="0"/>
        <w:rPr>
          <w:rFonts w:hint="eastAsia" w:ascii="仿宋_GB2312" w:hAnsi="仿宋_GB2312" w:eastAsia="仿宋" w:cs="仿宋_GB2312"/>
          <w:color w:val="auto"/>
          <w:sz w:val="32"/>
          <w:szCs w:val="32"/>
          <w:u w:val="none"/>
          <w:lang w:val="en-US"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77DB519-A628-4377-BA7D-FD7A68E53EE8}"/>
  </w:font>
  <w:font w:name="仿宋_GB2312">
    <w:panose1 w:val="02010609030101010101"/>
    <w:charset w:val="86"/>
    <w:family w:val="modern"/>
    <w:pitch w:val="default"/>
    <w:sig w:usb0="00000001" w:usb1="080E0000" w:usb2="00000000" w:usb3="00000000" w:csb0="00040000" w:csb1="00000000"/>
    <w:embedRegular r:id="rId2" w:fontKey="{44A1F68D-1CB6-496C-8E5E-46D1E4CA80BE}"/>
  </w:font>
  <w:font w:name="仿宋">
    <w:panose1 w:val="02010609060101010101"/>
    <w:charset w:val="86"/>
    <w:family w:val="auto"/>
    <w:pitch w:val="default"/>
    <w:sig w:usb0="800002BF" w:usb1="38CF7CFA" w:usb2="00000016" w:usb3="00000000" w:csb0="00040001" w:csb1="00000000"/>
    <w:embedRegular r:id="rId3" w:fontKey="{1C1683A5-DEBC-40E8-B830-5449647D2B4A}"/>
  </w:font>
  <w:font w:name="方正小标宋简体">
    <w:panose1 w:val="02000000000000000000"/>
    <w:charset w:val="86"/>
    <w:family w:val="script"/>
    <w:pitch w:val="default"/>
    <w:sig w:usb0="00000001" w:usb1="08000000" w:usb2="00000000" w:usb3="00000000" w:csb0="00040000" w:csb1="00000000"/>
    <w:embedRegular r:id="rId4" w:fontKey="{AB656049-B28E-4958-BED2-EE23D25737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349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7F7C0B">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1D7F7C0B">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921F">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NjUzYTAwYTc1NDdmMmY0MjY4OWRlNTY3MWQzYjAifQ=="/>
  </w:docVars>
  <w:rsids>
    <w:rsidRoot w:val="577418A2"/>
    <w:rsid w:val="000665AE"/>
    <w:rsid w:val="00530533"/>
    <w:rsid w:val="00760825"/>
    <w:rsid w:val="011A019B"/>
    <w:rsid w:val="036B411B"/>
    <w:rsid w:val="06D8598B"/>
    <w:rsid w:val="090D0A14"/>
    <w:rsid w:val="0F0A2B4D"/>
    <w:rsid w:val="10756C60"/>
    <w:rsid w:val="14F86A1C"/>
    <w:rsid w:val="157E02CA"/>
    <w:rsid w:val="17792F36"/>
    <w:rsid w:val="1A1B4EBB"/>
    <w:rsid w:val="1A3E1E36"/>
    <w:rsid w:val="1C7C24C7"/>
    <w:rsid w:val="1D847ACD"/>
    <w:rsid w:val="20600C7F"/>
    <w:rsid w:val="2060354F"/>
    <w:rsid w:val="234279DB"/>
    <w:rsid w:val="25075094"/>
    <w:rsid w:val="265253C6"/>
    <w:rsid w:val="2703496B"/>
    <w:rsid w:val="2A836443"/>
    <w:rsid w:val="2AAE630A"/>
    <w:rsid w:val="2ABF1371"/>
    <w:rsid w:val="2B127403"/>
    <w:rsid w:val="2B56643A"/>
    <w:rsid w:val="2E3F77A5"/>
    <w:rsid w:val="2EE60055"/>
    <w:rsid w:val="30A972D0"/>
    <w:rsid w:val="31BC4C98"/>
    <w:rsid w:val="33DF5836"/>
    <w:rsid w:val="35743FCC"/>
    <w:rsid w:val="35C834D1"/>
    <w:rsid w:val="360F1920"/>
    <w:rsid w:val="38237503"/>
    <w:rsid w:val="38AA5E2B"/>
    <w:rsid w:val="38C32B2C"/>
    <w:rsid w:val="3B60329C"/>
    <w:rsid w:val="3F323EEB"/>
    <w:rsid w:val="40DF7F2F"/>
    <w:rsid w:val="451A59D3"/>
    <w:rsid w:val="47B740FA"/>
    <w:rsid w:val="48E52CE0"/>
    <w:rsid w:val="4A9804CE"/>
    <w:rsid w:val="4CF56D5B"/>
    <w:rsid w:val="505646F7"/>
    <w:rsid w:val="50C04FF1"/>
    <w:rsid w:val="51A30A25"/>
    <w:rsid w:val="52363378"/>
    <w:rsid w:val="52EB2EC2"/>
    <w:rsid w:val="53B67C1A"/>
    <w:rsid w:val="53D5470F"/>
    <w:rsid w:val="541F1CF1"/>
    <w:rsid w:val="577418A2"/>
    <w:rsid w:val="5A3133C9"/>
    <w:rsid w:val="5AAB152E"/>
    <w:rsid w:val="5B9B0DD6"/>
    <w:rsid w:val="5E5D5AC8"/>
    <w:rsid w:val="5E5E29E6"/>
    <w:rsid w:val="5FB63EE4"/>
    <w:rsid w:val="600C1D3F"/>
    <w:rsid w:val="61290140"/>
    <w:rsid w:val="62F243E1"/>
    <w:rsid w:val="63E25F9F"/>
    <w:rsid w:val="64B357B6"/>
    <w:rsid w:val="65083CFB"/>
    <w:rsid w:val="65FC331A"/>
    <w:rsid w:val="66C41132"/>
    <w:rsid w:val="6765411F"/>
    <w:rsid w:val="6920752D"/>
    <w:rsid w:val="6AC2766C"/>
    <w:rsid w:val="6BFF9943"/>
    <w:rsid w:val="6CCB2AC6"/>
    <w:rsid w:val="6E125B96"/>
    <w:rsid w:val="6E5D3F4A"/>
    <w:rsid w:val="6F911798"/>
    <w:rsid w:val="71920841"/>
    <w:rsid w:val="71AE62A2"/>
    <w:rsid w:val="76C17BF9"/>
    <w:rsid w:val="79CE7428"/>
    <w:rsid w:val="7BA469C4"/>
    <w:rsid w:val="7F7FEFA5"/>
    <w:rsid w:val="7FD64829"/>
    <w:rsid w:val="7FFB0152"/>
    <w:rsid w:val="8B9FAE6E"/>
    <w:rsid w:val="ED710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before="100" w:beforeAutospacing="1" w:after="120" w:line="480" w:lineRule="auto"/>
      <w:ind w:left="420" w:leftChars="200"/>
    </w:pPr>
    <w:rPr>
      <w:rFonts w:ascii="Calibri" w:hAnsi="Calibri"/>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autoRedefine/>
    <w:unhideWhenUsed/>
    <w:qFormat/>
    <w:uiPriority w:val="99"/>
    <w:rPr>
      <w:color w:val="0563C1" w:themeColor="hyperlink"/>
      <w:u w:val="single"/>
      <w14:textFill>
        <w14:solidFill>
          <w14:schemeClr w14:val="hlink"/>
        </w14:solidFill>
      </w14:textFill>
    </w:rPr>
  </w:style>
  <w:style w:type="character" w:customStyle="1" w:styleId="8">
    <w:name w:val="NormalCharacter"/>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2546</Words>
  <Characters>2588</Characters>
  <Lines>53</Lines>
  <Paragraphs>15</Paragraphs>
  <TotalTime>4</TotalTime>
  <ScaleCrop>false</ScaleCrop>
  <LinksUpToDate>false</LinksUpToDate>
  <CharactersWithSpaces>2636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2020-08-19T08:58:00Z</dcterms:created>
  <dc:creator>孙瑞</dc:creator>
  <cp:lastModifiedBy>李明波</cp:lastModifiedBy>
  <cp:lastPrinted>2024-09-10T02:18:00Z</cp:lastPrinted>
  <dcterms:modified xsi:type="dcterms:W3CDTF">2024-10-14T03:50:30Z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B807B2DD7A2B41F0AE21F1476A33F9FD_13</vt:lpwstr>
  </property>
</Properties>
</file>